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left"/>
        <w:rPr>
          <w:b w:val="1"/>
        </w:rPr>
      </w:pPr>
      <w:r w:rsidDel="00000000" w:rsidR="00000000" w:rsidRPr="00000000">
        <w:rPr>
          <w:rtl w:val="0"/>
        </w:rPr>
      </w:r>
    </w:p>
    <w:tbl>
      <w:tblPr>
        <w:tblStyle w:val="Table1"/>
        <w:tblW w:w="550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05"/>
        <w:tblGridChange w:id="0">
          <w:tblGrid>
            <w:gridCol w:w="5505"/>
          </w:tblGrid>
        </w:tblGridChange>
      </w:tblGrid>
      <w:tr>
        <w:trPr>
          <w:trHeight w:val="300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color w:val="231c16"/>
                <w:sz w:val="24"/>
                <w:szCs w:val="24"/>
              </w:rPr>
            </w:pPr>
            <w:r w:rsidDel="00000000" w:rsidR="00000000" w:rsidRPr="00000000">
              <w:rPr>
                <w:b w:val="1"/>
                <w:color w:val="231c16"/>
                <w:sz w:val="24"/>
                <w:szCs w:val="24"/>
                <w:rtl w:val="0"/>
              </w:rPr>
              <w:t xml:space="preserve">Campaign Contact: </w:t>
            </w:r>
            <w:r w:rsidDel="00000000" w:rsidR="00000000" w:rsidRPr="00000000">
              <w:rPr>
                <w:color w:val="231c16"/>
                <w:sz w:val="24"/>
                <w:szCs w:val="24"/>
                <w:rtl w:val="0"/>
              </w:rPr>
              <w:t xml:space="preserve">Drew Cooper, Field Director </w:t>
            </w:r>
          </w:p>
          <w:p w:rsidR="00000000" w:rsidDel="00000000" w:rsidP="00000000" w:rsidRDefault="00000000" w:rsidRPr="00000000">
            <w:pPr>
              <w:contextualSpacing w:val="0"/>
              <w:rPr>
                <w:color w:val="231c16"/>
                <w:sz w:val="24"/>
                <w:szCs w:val="24"/>
              </w:rPr>
            </w:pPr>
            <w:r w:rsidDel="00000000" w:rsidR="00000000" w:rsidRPr="00000000">
              <w:rPr>
                <w:color w:val="231c16"/>
                <w:sz w:val="24"/>
                <w:szCs w:val="24"/>
                <w:rtl w:val="0"/>
              </w:rPr>
              <w:t xml:space="preserve">(p): 641-990-6429 </w:t>
            </w:r>
          </w:p>
          <w:p w:rsidR="00000000" w:rsidDel="00000000" w:rsidP="00000000" w:rsidRDefault="00000000" w:rsidRPr="00000000">
            <w:pPr>
              <w:contextualSpacing w:val="0"/>
              <w:rPr>
                <w:color w:val="231c16"/>
                <w:sz w:val="24"/>
                <w:szCs w:val="24"/>
              </w:rPr>
            </w:pPr>
            <w:r w:rsidDel="00000000" w:rsidR="00000000" w:rsidRPr="00000000">
              <w:rPr>
                <w:color w:val="231c16"/>
                <w:sz w:val="24"/>
                <w:szCs w:val="24"/>
                <w:rtl w:val="0"/>
              </w:rPr>
              <w:t xml:space="preserve">(e): drew@jennifercarrollfoy.org</w:t>
            </w:r>
          </w:p>
          <w:p w:rsidR="00000000" w:rsidDel="00000000" w:rsidP="00000000" w:rsidRDefault="00000000" w:rsidRPr="00000000">
            <w:pPr>
              <w:contextualSpacing w:val="0"/>
              <w:rPr>
                <w:color w:val="231c16"/>
                <w:sz w:val="24"/>
                <w:szCs w:val="24"/>
              </w:rPr>
            </w:pPr>
            <w:r w:rsidDel="00000000" w:rsidR="00000000" w:rsidRPr="00000000">
              <w:rPr>
                <w:b w:val="1"/>
                <w:i w:val="1"/>
                <w:color w:val="231c16"/>
                <w:sz w:val="24"/>
                <w:szCs w:val="24"/>
                <w:rtl w:val="0"/>
              </w:rPr>
              <w:t xml:space="preserve">AVAILABLE TO ANSWER QUESTIONS:</w:t>
            </w:r>
            <w:r w:rsidDel="00000000" w:rsidR="00000000" w:rsidRPr="00000000">
              <w:rPr>
                <w:color w:val="231c16"/>
                <w:sz w:val="24"/>
                <w:szCs w:val="24"/>
                <w:rtl w:val="0"/>
              </w:rPr>
              <w:t xml:space="preserve"> </w:t>
            </w:r>
          </w:p>
          <w:p w:rsidR="00000000" w:rsidDel="00000000" w:rsidP="00000000" w:rsidRDefault="00000000" w:rsidRPr="00000000">
            <w:pPr>
              <w:contextualSpacing w:val="0"/>
              <w:rPr>
                <w:color w:val="231c16"/>
                <w:sz w:val="24"/>
                <w:szCs w:val="24"/>
              </w:rPr>
            </w:pPr>
            <w:r w:rsidDel="00000000" w:rsidR="00000000" w:rsidRPr="00000000">
              <w:rPr>
                <w:color w:val="231c16"/>
                <w:sz w:val="24"/>
                <w:szCs w:val="24"/>
                <w:rtl w:val="0"/>
              </w:rPr>
              <w:t xml:space="preserve">Mon-Fri: 10:00AM - 9:00PM</w:t>
            </w:r>
          </w:p>
          <w:p w:rsidR="00000000" w:rsidDel="00000000" w:rsidP="00000000" w:rsidRDefault="00000000" w:rsidRPr="00000000">
            <w:pPr>
              <w:contextualSpacing w:val="0"/>
              <w:rPr>
                <w:color w:val="231c16"/>
                <w:sz w:val="24"/>
                <w:szCs w:val="24"/>
              </w:rPr>
            </w:pPr>
            <w:r w:rsidDel="00000000" w:rsidR="00000000" w:rsidRPr="00000000">
              <w:rPr>
                <w:color w:val="231c16"/>
                <w:sz w:val="24"/>
                <w:szCs w:val="24"/>
                <w:rtl w:val="0"/>
              </w:rPr>
              <w:t xml:space="preserve">Sat: 9:00AM - 7:00PM</w:t>
            </w:r>
          </w:p>
          <w:p w:rsidR="00000000" w:rsidDel="00000000" w:rsidP="00000000" w:rsidRDefault="00000000" w:rsidRPr="00000000">
            <w:pPr>
              <w:contextualSpacing w:val="0"/>
              <w:rPr>
                <w:color w:val="231c16"/>
                <w:sz w:val="24"/>
                <w:szCs w:val="24"/>
              </w:rPr>
            </w:pPr>
            <w:r w:rsidDel="00000000" w:rsidR="00000000" w:rsidRPr="00000000">
              <w:rPr>
                <w:color w:val="231c16"/>
                <w:sz w:val="24"/>
                <w:szCs w:val="24"/>
                <w:rtl w:val="0"/>
              </w:rPr>
              <w:t xml:space="preserve">Sun: 12:00 - 7:00PM</w:t>
            </w:r>
          </w:p>
          <w:p w:rsidR="00000000" w:rsidDel="00000000" w:rsidP="00000000" w:rsidRDefault="00000000" w:rsidRPr="00000000">
            <w:pPr>
              <w:contextualSpacing w:val="0"/>
              <w:rPr>
                <w:color w:val="231c16"/>
                <w:sz w:val="24"/>
                <w:szCs w:val="24"/>
              </w:rPr>
            </w:pPr>
            <w:r w:rsidDel="00000000" w:rsidR="00000000" w:rsidRPr="00000000">
              <w:rPr>
                <w:rtl w:val="0"/>
              </w:rPr>
            </w:r>
          </w:p>
          <w:p w:rsidR="00000000" w:rsidDel="00000000" w:rsidP="00000000" w:rsidRDefault="00000000" w:rsidRPr="00000000">
            <w:pPr>
              <w:contextualSpacing w:val="0"/>
              <w:rPr>
                <w:b w:val="1"/>
                <w:color w:val="231c16"/>
                <w:sz w:val="24"/>
                <w:szCs w:val="24"/>
              </w:rPr>
            </w:pPr>
            <w:r w:rsidDel="00000000" w:rsidR="00000000" w:rsidRPr="00000000">
              <w:rPr>
                <w:b w:val="1"/>
                <w:color w:val="231c16"/>
                <w:sz w:val="24"/>
                <w:szCs w:val="24"/>
                <w:rtl w:val="0"/>
              </w:rPr>
              <w:t xml:space="preserve">ALLOWED HOURS FOR PHONEBANKING:</w:t>
            </w:r>
          </w:p>
          <w:p w:rsidR="00000000" w:rsidDel="00000000" w:rsidP="00000000" w:rsidRDefault="00000000" w:rsidRPr="00000000">
            <w:pPr>
              <w:contextualSpacing w:val="0"/>
              <w:rPr>
                <w:b w:val="1"/>
                <w:sz w:val="24"/>
                <w:szCs w:val="24"/>
              </w:rPr>
            </w:pPr>
            <w:r w:rsidDel="00000000" w:rsidR="00000000" w:rsidRPr="00000000">
              <w:rPr>
                <w:color w:val="231c16"/>
                <w:sz w:val="24"/>
                <w:szCs w:val="24"/>
                <w:rtl w:val="0"/>
              </w:rPr>
              <w:t xml:space="preserve">Mon-Fri: 5:00 - 8:00 PM ET </w:t>
              <w:br w:type="textWrapping"/>
              <w:t xml:space="preserve">Sat: 10:30AM-1:00PM ET</w:t>
              <w:br w:type="textWrapping"/>
              <w:t xml:space="preserve">Sun: 2:00 - 7:00 PM ET</w:t>
            </w:r>
            <w:r w:rsidDel="00000000" w:rsidR="00000000" w:rsidRPr="00000000">
              <w:rPr>
                <w:rtl w:val="0"/>
              </w:rPr>
            </w:r>
          </w:p>
        </w:tc>
      </w:tr>
      <w:tr>
        <w:trPr>
          <w:trHeight w:val="64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color w:val="231c16"/>
                <w:sz w:val="28"/>
                <w:szCs w:val="28"/>
              </w:rPr>
            </w:pPr>
            <w:hyperlink r:id="rId5">
              <w:r w:rsidDel="00000000" w:rsidR="00000000" w:rsidRPr="00000000">
                <w:rPr>
                  <w:b w:val="1"/>
                  <w:color w:val="1155cc"/>
                  <w:sz w:val="28"/>
                  <w:szCs w:val="28"/>
                  <w:u w:val="single"/>
                  <w:rtl w:val="0"/>
                </w:rPr>
                <w:t xml:space="preserve">Jennifer Carroll Foy Training Materials</w:t>
              </w:r>
            </w:hyperlink>
            <w:r w:rsidDel="00000000" w:rsidR="00000000" w:rsidRPr="00000000">
              <w:rPr>
                <w:rtl w:val="0"/>
              </w:rPr>
            </w:r>
          </w:p>
        </w:tc>
      </w:tr>
      <w:tr>
        <w:trPr>
          <w:trHeight w:val="64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color w:val="231c16"/>
                <w:sz w:val="24"/>
                <w:szCs w:val="24"/>
              </w:rPr>
            </w:pPr>
            <w:r w:rsidDel="00000000" w:rsidR="00000000" w:rsidRPr="00000000">
              <w:rPr>
                <w:rFonts w:ascii="Arial Unicode MS" w:cs="Arial Unicode MS" w:eastAsia="Arial Unicode MS" w:hAnsi="Arial Unicode MS"/>
                <w:b w:val="1"/>
                <w:color w:val="231c16"/>
                <w:sz w:val="28"/>
                <w:szCs w:val="28"/>
                <w:rtl w:val="0"/>
              </w:rPr>
              <w:t xml:space="preserve">Click to start calling → </w:t>
            </w:r>
            <w:hyperlink r:id="rId6">
              <w:r w:rsidDel="00000000" w:rsidR="00000000" w:rsidRPr="00000000">
                <w:rPr>
                  <w:b w:val="1"/>
                  <w:color w:val="1155cc"/>
                  <w:sz w:val="28"/>
                  <w:szCs w:val="28"/>
                  <w:u w:val="single"/>
                  <w:rtl w:val="0"/>
                </w:rPr>
                <w:t xml:space="preserve">OpenVPB Link</w:t>
              </w:r>
            </w:hyperlink>
            <w:r w:rsidDel="00000000" w:rsidR="00000000" w:rsidRPr="00000000">
              <w:rPr>
                <w:b w:val="1"/>
                <w:color w:val="231c16"/>
                <w:sz w:val="24"/>
                <w:szCs w:val="24"/>
                <w:rtl w:val="0"/>
              </w:rPr>
              <w:t xml:space="preserve"> </w:t>
            </w:r>
          </w:p>
        </w:tc>
      </w:tr>
    </w:tbl>
    <w:p w:rsidR="00000000" w:rsidDel="00000000" w:rsidP="00000000" w:rsidRDefault="00000000" w:rsidRPr="00000000">
      <w:pPr>
        <w:contextualSpacing w:val="0"/>
        <w:jc w:val="left"/>
        <w:rPr>
          <w:b w:val="1"/>
        </w:rPr>
        <w:sectPr>
          <w:headerReference r:id="rId7" w:type="default"/>
          <w:pgSz w:h="15840" w:w="12240"/>
          <w:pgMar w:bottom="1440" w:top="1440" w:left="1440" w:right="1440" w:header="0"/>
          <w:pgNumType w:start="1"/>
        </w:sectPr>
      </w:pPr>
      <w:r w:rsidDel="00000000" w:rsidR="00000000" w:rsidRPr="00000000">
        <w:rPr>
          <w:rtl w:val="0"/>
        </w:rPr>
      </w:r>
    </w:p>
    <w:p w:rsidR="00000000" w:rsidDel="00000000" w:rsidP="00000000" w:rsidRDefault="00000000" w:rsidRPr="00000000">
      <w:pPr>
        <w:contextualSpacing w:val="0"/>
        <w:jc w:val="both"/>
        <w:rPr>
          <w:color w:val="231c16"/>
        </w:rPr>
      </w:pPr>
      <w:r w:rsidDel="00000000" w:rsidR="00000000" w:rsidRPr="00000000">
        <w:rPr>
          <w:b w:val="1"/>
          <w:color w:val="231c16"/>
          <w:rtl w:val="0"/>
        </w:rPr>
        <w:t xml:space="preserve">Next Steps:</w:t>
      </w: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sz w:val="22"/>
          <w:szCs w:val="22"/>
        </w:rPr>
      </w:pPr>
      <w:r w:rsidDel="00000000" w:rsidR="00000000" w:rsidRPr="00000000">
        <w:rPr>
          <w:b w:val="1"/>
          <w:color w:val="231c16"/>
          <w:rtl w:val="0"/>
        </w:rPr>
        <w:t xml:space="preserve">Check out the </w:t>
      </w:r>
      <w:hyperlink r:id="rId8">
        <w:r w:rsidDel="00000000" w:rsidR="00000000" w:rsidRPr="00000000">
          <w:rPr>
            <w:b w:val="1"/>
            <w:color w:val="1155cc"/>
            <w:u w:val="single"/>
            <w:rtl w:val="0"/>
          </w:rPr>
          <w:t xml:space="preserve">training materials for </w:t>
        </w:r>
      </w:hyperlink>
      <w:hyperlink r:id="rId9">
        <w:r w:rsidDel="00000000" w:rsidR="00000000" w:rsidRPr="00000000">
          <w:rPr>
            <w:b w:val="1"/>
            <w:color w:val="1155cc"/>
            <w:u w:val="single"/>
            <w:rtl w:val="0"/>
          </w:rPr>
          <w:t xml:space="preserve">Jennifer</w:t>
        </w:r>
      </w:hyperlink>
      <w:r w:rsidDel="00000000" w:rsidR="00000000" w:rsidRPr="00000000">
        <w:rPr>
          <w:b w:val="1"/>
          <w:color w:val="231c16"/>
          <w:rtl w:val="0"/>
        </w:rPr>
        <w:t xml:space="preserve">.</w:t>
      </w:r>
      <w:r w:rsidDel="00000000" w:rsidR="00000000" w:rsidRPr="00000000">
        <w:rPr>
          <w:color w:val="231c16"/>
          <w:rtl w:val="0"/>
        </w:rPr>
        <w:t xml:space="preserve"> There are both written and audio components.</w:t>
      </w:r>
    </w:p>
    <w:p w:rsidR="00000000" w:rsidDel="00000000" w:rsidP="00000000" w:rsidRDefault="00000000" w:rsidRPr="00000000">
      <w:pPr>
        <w:numPr>
          <w:ilvl w:val="0"/>
          <w:numId w:val="1"/>
        </w:numPr>
        <w:ind w:left="720" w:hanging="360"/>
        <w:contextualSpacing w:val="1"/>
        <w:jc w:val="both"/>
        <w:rPr>
          <w:sz w:val="22"/>
          <w:szCs w:val="22"/>
        </w:rPr>
      </w:pPr>
      <w:r w:rsidDel="00000000" w:rsidR="00000000" w:rsidRPr="00000000">
        <w:rPr>
          <w:b w:val="1"/>
          <w:color w:val="231c16"/>
          <w:rtl w:val="0"/>
        </w:rPr>
        <w:t xml:space="preserve">Login to Open VPB (or complete the quick sign up). </w:t>
      </w:r>
      <w:r w:rsidDel="00000000" w:rsidR="00000000" w:rsidRPr="00000000">
        <w:rPr>
          <w:color w:val="231c16"/>
          <w:rtl w:val="0"/>
        </w:rPr>
        <w:t xml:space="preserve">Here’s the link for </w:t>
      </w:r>
      <w:r w:rsidDel="00000000" w:rsidR="00000000" w:rsidRPr="00000000">
        <w:rPr>
          <w:color w:val="231c16"/>
          <w:rtl w:val="0"/>
        </w:rPr>
        <w:t xml:space="preserve">Jennifer</w:t>
      </w:r>
      <w:r w:rsidDel="00000000" w:rsidR="00000000" w:rsidRPr="00000000">
        <w:rPr>
          <w:color w:val="231c16"/>
          <w:rtl w:val="0"/>
        </w:rPr>
        <w:t xml:space="preserve">. This will be the correct link going forward, but we'll update you if anything changes.</w:t>
      </w:r>
    </w:p>
    <w:p w:rsidR="00000000" w:rsidDel="00000000" w:rsidP="00000000" w:rsidRDefault="00000000" w:rsidRPr="00000000">
      <w:pPr>
        <w:numPr>
          <w:ilvl w:val="0"/>
          <w:numId w:val="1"/>
        </w:numPr>
        <w:ind w:left="720" w:hanging="360"/>
        <w:contextualSpacing w:val="1"/>
        <w:jc w:val="both"/>
        <w:rPr>
          <w:sz w:val="22"/>
          <w:szCs w:val="22"/>
        </w:rPr>
      </w:pPr>
      <w:r w:rsidDel="00000000" w:rsidR="00000000" w:rsidRPr="00000000">
        <w:rPr>
          <w:b w:val="1"/>
          <w:color w:val="231c16"/>
          <w:rtl w:val="0"/>
        </w:rPr>
        <w:t xml:space="preserve">Start making calls. </w:t>
      </w:r>
      <w:r w:rsidDel="00000000" w:rsidR="00000000" w:rsidRPr="00000000">
        <w:rPr>
          <w:color w:val="231c16"/>
          <w:rtl w:val="0"/>
        </w:rPr>
        <w:t xml:space="preserve">Before you begin, make sure you have the following items: your own phone, headphones, and a computer. If you don't have access to a laptop or PC, an iPad or other tablet may work as well. Then, from the comfort of your own home (or a friend's), you can get started!</w:t>
      </w:r>
    </w:p>
    <w:p w:rsidR="00000000" w:rsidDel="00000000" w:rsidP="00000000" w:rsidRDefault="00000000" w:rsidRPr="00000000">
      <w:pPr>
        <w:ind w:left="0" w:firstLine="0"/>
        <w:contextualSpacing w:val="0"/>
        <w:jc w:val="both"/>
        <w:rPr>
          <w:color w:val="231c16"/>
        </w:rPr>
      </w:pPr>
      <w:r w:rsidDel="00000000" w:rsidR="00000000" w:rsidRPr="00000000">
        <w:rPr>
          <w:rtl w:val="0"/>
        </w:rPr>
      </w:r>
    </w:p>
    <w:p w:rsidR="00000000" w:rsidDel="00000000" w:rsidP="00000000" w:rsidRDefault="00000000" w:rsidRPr="00000000">
      <w:pPr>
        <w:ind w:left="0" w:firstLine="0"/>
        <w:contextualSpacing w:val="0"/>
        <w:jc w:val="both"/>
        <w:rPr>
          <w:color w:val="231c16"/>
        </w:rPr>
      </w:pPr>
      <w:r w:rsidDel="00000000" w:rsidR="00000000" w:rsidRPr="00000000">
        <w:rPr>
          <w:b w:val="1"/>
          <w:color w:val="231c16"/>
          <w:rtl w:val="0"/>
        </w:rPr>
        <w:t xml:space="preserve">If you have any questions during Open Hours</w:t>
      </w:r>
      <w:r w:rsidDel="00000000" w:rsidR="00000000" w:rsidRPr="00000000">
        <w:rPr>
          <w:color w:val="231c16"/>
          <w:rtl w:val="0"/>
        </w:rPr>
        <w:t xml:space="preserve">, campaign staff is on call to help. For Jennifer’s campaign, please call or text Drew at 641-990-6429. </w:t>
      </w:r>
      <w:r w:rsidDel="00000000" w:rsidR="00000000" w:rsidRPr="00000000">
        <w:rPr>
          <w:i w:val="1"/>
          <w:color w:val="231c16"/>
          <w:rtl w:val="0"/>
        </w:rPr>
        <w:t xml:space="preserve">Please identify yourself as a virtual/remote phonebanker</w:t>
      </w:r>
      <w:r w:rsidDel="00000000" w:rsidR="00000000" w:rsidRPr="00000000">
        <w:rPr>
          <w:color w:val="231c16"/>
          <w:rtl w:val="0"/>
        </w:rPr>
        <w:t xml:space="preserve">.</w:t>
      </w:r>
    </w:p>
    <w:p w:rsidR="00000000" w:rsidDel="00000000" w:rsidP="00000000" w:rsidRDefault="00000000" w:rsidRPr="00000000">
      <w:pPr>
        <w:contextualSpacing w:val="0"/>
        <w:jc w:val="both"/>
        <w:rPr>
          <w:color w:val="231c16"/>
        </w:rPr>
      </w:pPr>
      <w:r w:rsidDel="00000000" w:rsidR="00000000" w:rsidRPr="00000000">
        <w:rPr>
          <w:rtl w:val="0"/>
        </w:rPr>
      </w:r>
    </w:p>
    <w:p w:rsidR="00000000" w:rsidDel="00000000" w:rsidP="00000000" w:rsidRDefault="00000000" w:rsidRPr="00000000">
      <w:pPr>
        <w:contextualSpacing w:val="0"/>
        <w:jc w:val="both"/>
        <w:rPr>
          <w:color w:val="231c16"/>
        </w:rPr>
      </w:pPr>
      <w:r w:rsidDel="00000000" w:rsidR="00000000" w:rsidRPr="00000000">
        <w:rPr>
          <w:color w:val="231c16"/>
          <w:rtl w:val="0"/>
        </w:rPr>
        <w:t xml:space="preserve">If you've phonebanked before, then you know the drill. But if you're new to this, you'll catch on quickly. </w:t>
      </w:r>
      <w:r w:rsidDel="00000000" w:rsidR="00000000" w:rsidRPr="00000000">
        <w:rPr>
          <w:b w:val="1"/>
          <w:color w:val="231c16"/>
          <w:rtl w:val="0"/>
        </w:rPr>
        <w:t xml:space="preserve">The Open VPB platform will provide you with a script</w:t>
      </w:r>
      <w:r w:rsidDel="00000000" w:rsidR="00000000" w:rsidRPr="00000000">
        <w:rPr>
          <w:color w:val="231c16"/>
          <w:rtl w:val="0"/>
        </w:rPr>
        <w:t xml:space="preserve">, which comes straight from the campaign so you can trust that your calls are supporting our goals and strategies.</w:t>
      </w:r>
    </w:p>
    <w:p w:rsidR="00000000" w:rsidDel="00000000" w:rsidP="00000000" w:rsidRDefault="00000000" w:rsidRPr="00000000">
      <w:pPr>
        <w:contextualSpacing w:val="0"/>
        <w:jc w:val="both"/>
        <w:rPr>
          <w:color w:val="231c16"/>
        </w:rPr>
      </w:pPr>
      <w:r w:rsidDel="00000000" w:rsidR="00000000" w:rsidRPr="00000000">
        <w:rPr>
          <w:rtl w:val="0"/>
        </w:rPr>
      </w:r>
    </w:p>
    <w:p w:rsidR="00000000" w:rsidDel="00000000" w:rsidP="00000000" w:rsidRDefault="00000000" w:rsidRPr="00000000">
      <w:pPr>
        <w:contextualSpacing w:val="0"/>
        <w:jc w:val="both"/>
        <w:rPr>
          <w:color w:val="231c16"/>
        </w:rPr>
      </w:pPr>
      <w:r w:rsidDel="00000000" w:rsidR="00000000" w:rsidRPr="00000000">
        <w:rPr>
          <w:color w:val="231c16"/>
          <w:rtl w:val="0"/>
        </w:rPr>
        <w:t xml:space="preserve">Whether you want to try out phonebanking on your own, or would rather join a group, we've got you covered. Let Drew know if you're interested in hosting a remote phonebank party for Jennifer.</w:t>
      </w:r>
    </w:p>
    <w:p w:rsidR="00000000" w:rsidDel="00000000" w:rsidP="00000000" w:rsidRDefault="00000000" w:rsidRPr="00000000">
      <w:pPr>
        <w:contextualSpacing w:val="0"/>
        <w:jc w:val="both"/>
        <w:rPr>
          <w:color w:val="231c16"/>
        </w:rPr>
      </w:pPr>
      <w:r w:rsidDel="00000000" w:rsidR="00000000" w:rsidRPr="00000000">
        <w:rPr>
          <w:rtl w:val="0"/>
        </w:rPr>
      </w:r>
    </w:p>
    <w:p w:rsidR="00000000" w:rsidDel="00000000" w:rsidP="00000000" w:rsidRDefault="00000000" w:rsidRPr="00000000">
      <w:pPr>
        <w:contextualSpacing w:val="0"/>
        <w:jc w:val="both"/>
        <w:rPr>
          <w:color w:val="231c16"/>
        </w:rPr>
        <w:sectPr>
          <w:type w:val="continuous"/>
          <w:pgSz w:h="15840" w:w="12240"/>
          <w:pgMar w:bottom="1440" w:top="1440" w:left="1440" w:right="1440" w:header="0"/>
          <w:cols w:equalWidth="0" w:num="2">
            <w:col w:space="720" w:w="4320"/>
            <w:col w:space="0" w:w="4320"/>
          </w:cols>
        </w:sect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Phonebanking Tips:</w:t>
      </w:r>
    </w:p>
    <w:p w:rsidR="00000000" w:rsidDel="00000000" w:rsidP="00000000" w:rsidRDefault="00000000" w:rsidRPr="00000000">
      <w:pPr>
        <w:contextualSpacing w:val="0"/>
        <w:rPr>
          <w:sz w:val="24"/>
          <w:szCs w:val="24"/>
        </w:rPr>
      </w:pPr>
      <w:r w:rsidDel="00000000" w:rsidR="00000000" w:rsidRPr="00000000">
        <w:rPr>
          <w:b w:val="1"/>
          <w:sz w:val="24"/>
          <w:szCs w:val="24"/>
          <w:rtl w:val="0"/>
        </w:rPr>
        <w:t xml:space="preserve">Smile</w:t>
      </w:r>
      <w:r w:rsidDel="00000000" w:rsidR="00000000" w:rsidRPr="00000000">
        <w:rPr>
          <w:sz w:val="24"/>
          <w:szCs w:val="24"/>
          <w:rtl w:val="0"/>
        </w:rPr>
        <w:t xml:space="preserve">! This is the most basic rule of voter contact. If you sound like you are enjoying yourself, people will be more interested in engaging in conversation with you and discussing what issues are important to them.</w:t>
      </w:r>
    </w:p>
    <w:p w:rsidR="00000000" w:rsidDel="00000000" w:rsidP="00000000" w:rsidRDefault="00000000" w:rsidRPr="00000000">
      <w:pPr>
        <w:contextualSpacing w:val="0"/>
        <w:rPr/>
      </w:pPr>
      <w:r w:rsidDel="00000000" w:rsidR="00000000" w:rsidRPr="00000000">
        <w:rPr>
          <w:rtl w:val="0"/>
        </w:rPr>
        <w:tab/>
        <w:tab/>
        <w:tab/>
        <w:tab/>
        <w:tab/>
        <w:tab/>
      </w:r>
    </w:p>
    <w:p w:rsidR="00000000" w:rsidDel="00000000" w:rsidP="00000000" w:rsidRDefault="00000000" w:rsidRPr="00000000">
      <w:pPr>
        <w:contextualSpacing w:val="0"/>
        <w:rPr>
          <w:sz w:val="24"/>
          <w:szCs w:val="24"/>
        </w:rPr>
      </w:pPr>
      <w:r w:rsidDel="00000000" w:rsidR="00000000" w:rsidRPr="00000000">
        <w:rPr>
          <w:b w:val="1"/>
          <w:sz w:val="24"/>
          <w:szCs w:val="24"/>
          <w:rtl w:val="0"/>
        </w:rPr>
        <w:t xml:space="preserve">Stay positive</w:t>
      </w:r>
      <w:r w:rsidDel="00000000" w:rsidR="00000000" w:rsidRPr="00000000">
        <w:rPr>
          <w:sz w:val="24"/>
          <w:szCs w:val="24"/>
          <w:rtl w:val="0"/>
        </w:rPr>
        <w:t xml:space="preserve">! As a volunteer, you’re here to excite voters about the Jennifer and the work she will do when she is elected. Don’t weigh the voter down with complaints about the opposition or their viewpoints. Comparisons are good, but keep a positive focus on Jennifer.</w:t>
      </w:r>
    </w:p>
    <w:p w:rsidR="00000000" w:rsidDel="00000000" w:rsidP="00000000" w:rsidRDefault="00000000" w:rsidRPr="00000000">
      <w:pPr>
        <w:contextualSpacing w:val="0"/>
        <w:rPr/>
      </w:pPr>
      <w:r w:rsidDel="00000000" w:rsidR="00000000" w:rsidRPr="00000000">
        <w:rPr>
          <w:rtl w:val="0"/>
        </w:rPr>
        <w:tab/>
        <w:tab/>
        <w:tab/>
        <w:tab/>
        <w:tab/>
        <w:tab/>
      </w:r>
    </w:p>
    <w:p w:rsidR="00000000" w:rsidDel="00000000" w:rsidP="00000000" w:rsidRDefault="00000000" w:rsidRPr="00000000">
      <w:pPr>
        <w:contextualSpacing w:val="0"/>
        <w:rPr>
          <w:sz w:val="24"/>
          <w:szCs w:val="24"/>
        </w:rPr>
      </w:pPr>
      <w:r w:rsidDel="00000000" w:rsidR="00000000" w:rsidRPr="00000000">
        <w:rPr>
          <w:b w:val="1"/>
          <w:sz w:val="24"/>
          <w:szCs w:val="24"/>
          <w:rtl w:val="0"/>
        </w:rPr>
        <w:t xml:space="preserve">Don’t pretend to be a policy expert</w:t>
      </w:r>
      <w:r w:rsidDel="00000000" w:rsidR="00000000" w:rsidRPr="00000000">
        <w:rPr>
          <w:sz w:val="24"/>
          <w:szCs w:val="24"/>
          <w:rtl w:val="0"/>
        </w:rPr>
        <w:t xml:space="preserve">. It’s likely that someone will ask you a question to which you do not know the answer. That’s okay. You should never be afraid to admit you do not know the details of one of the Jennifer’s policies. If you aren’t sure, say just that. You can point them to jennifercarrollfoy.org for more information on the particular issue - or give them Drew’s contact information (641-990-6429) to help answer their question.</w:t>
      </w:r>
    </w:p>
    <w:p w:rsidR="00000000" w:rsidDel="00000000" w:rsidP="00000000" w:rsidRDefault="00000000" w:rsidRPr="00000000">
      <w:pPr>
        <w:contextualSpacing w:val="0"/>
        <w:rPr/>
      </w:pPr>
      <w:r w:rsidDel="00000000" w:rsidR="00000000" w:rsidRPr="00000000">
        <w:rPr>
          <w:rtl w:val="0"/>
        </w:rPr>
        <w:tab/>
        <w:tab/>
        <w:tab/>
        <w:tab/>
        <w:tab/>
        <w:tab/>
      </w:r>
    </w:p>
    <w:p w:rsidR="00000000" w:rsidDel="00000000" w:rsidP="00000000" w:rsidRDefault="00000000" w:rsidRPr="00000000">
      <w:pPr>
        <w:contextualSpacing w:val="0"/>
        <w:rPr>
          <w:sz w:val="24"/>
          <w:szCs w:val="24"/>
        </w:rPr>
      </w:pPr>
      <w:r w:rsidDel="00000000" w:rsidR="00000000" w:rsidRPr="00000000">
        <w:rPr>
          <w:b w:val="1"/>
          <w:sz w:val="24"/>
          <w:szCs w:val="24"/>
          <w:rtl w:val="0"/>
        </w:rPr>
        <w:t xml:space="preserve">Follow the script, but speak from the heart</w:t>
      </w:r>
      <w:r w:rsidDel="00000000" w:rsidR="00000000" w:rsidRPr="00000000">
        <w:rPr>
          <w:sz w:val="24"/>
          <w:szCs w:val="24"/>
          <w:rtl w:val="0"/>
        </w:rPr>
        <w:t xml:space="preserve">. You will have a script to help you engage voters. But think of it as a guide. You will always be more effective if you can clearly and concisely explain what inspired you to help with the Jennifer Carroll  Foy campaign.</w:t>
      </w:r>
    </w:p>
    <w:p w:rsidR="00000000" w:rsidDel="00000000" w:rsidP="00000000" w:rsidRDefault="00000000" w:rsidRPr="00000000">
      <w:pPr>
        <w:contextualSpacing w:val="0"/>
        <w:rPr/>
      </w:pPr>
      <w:r w:rsidDel="00000000" w:rsidR="00000000" w:rsidRPr="00000000">
        <w:rPr>
          <w:rtl w:val="0"/>
        </w:rPr>
        <w:tab/>
        <w:tab/>
        <w:tab/>
        <w:tab/>
        <w:tab/>
        <w:tab/>
      </w:r>
    </w:p>
    <w:p w:rsidR="00000000" w:rsidDel="00000000" w:rsidP="00000000" w:rsidRDefault="00000000" w:rsidRPr="00000000">
      <w:pPr>
        <w:contextualSpacing w:val="0"/>
        <w:rPr>
          <w:sz w:val="24"/>
          <w:szCs w:val="24"/>
        </w:rPr>
      </w:pPr>
      <w:r w:rsidDel="00000000" w:rsidR="00000000" w:rsidRPr="00000000">
        <w:rPr>
          <w:b w:val="1"/>
          <w:sz w:val="24"/>
          <w:szCs w:val="24"/>
          <w:rtl w:val="0"/>
        </w:rPr>
        <w:t xml:space="preserve">Be as accurate as possible</w:t>
      </w:r>
      <w:r w:rsidDel="00000000" w:rsidR="00000000" w:rsidRPr="00000000">
        <w:rPr>
          <w:sz w:val="24"/>
          <w:szCs w:val="24"/>
          <w:rtl w:val="0"/>
        </w:rPr>
        <w:t xml:space="preserve"> - If you speak with a member of the household other than the voter on your call list, do not record the responses as those of the person on your list. You should simply report the voter as "Not Home" and move on to the next call. </w:t>
      </w:r>
    </w:p>
    <w:p w:rsidR="00000000" w:rsidDel="00000000" w:rsidP="00000000" w:rsidRDefault="00000000" w:rsidRPr="00000000">
      <w:pPr>
        <w:contextualSpacing w:val="0"/>
        <w:jc w:val="both"/>
        <w:rPr>
          <w:color w:val="231c16"/>
        </w:rPr>
      </w:pPr>
      <w:r w:rsidDel="00000000" w:rsidR="00000000" w:rsidRPr="00000000">
        <w:rPr>
          <w:rtl w:val="0"/>
        </w:rPr>
      </w:r>
    </w:p>
    <w:p w:rsidR="00000000" w:rsidDel="00000000" w:rsidP="00000000" w:rsidRDefault="00000000" w:rsidRPr="00000000">
      <w:pPr>
        <w:contextualSpacing w:val="0"/>
        <w:jc w:val="both"/>
        <w:rPr>
          <w:b w:val="1"/>
          <w:color w:val="231c16"/>
        </w:rPr>
      </w:pPr>
      <w:r w:rsidDel="00000000" w:rsidR="00000000" w:rsidRPr="00000000">
        <w:rPr>
          <w:rtl w:val="0"/>
        </w:rPr>
      </w:r>
    </w:p>
    <w:p w:rsidR="00000000" w:rsidDel="00000000" w:rsidP="00000000" w:rsidRDefault="00000000" w:rsidRPr="00000000">
      <w:pPr>
        <w:contextualSpacing w:val="0"/>
        <w:jc w:val="both"/>
        <w:rPr>
          <w:b w:val="1"/>
          <w:color w:val="231c16"/>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type w:val="continuous"/>
      <w:pgSz w:h="15840" w:w="12240"/>
      <w:pgMar w:bottom="1440" w:top="1440" w:left="1440" w:right="1440" w:header="0"/>
      <w:cols w:equalWidth="0" w:num="1">
        <w:col w:space="0" w:w="93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Arial Unicode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ind w:left="0" w:firstLine="0"/>
      <w:contextualSpacing w:val="0"/>
      <w:jc w:val="center"/>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Pr>
      <w:drawing>
        <wp:inline distB="114300" distT="114300" distL="114300" distR="114300">
          <wp:extent cx="1466850" cy="750481"/>
          <wp:effectExtent b="0" l="0" r="0" t="0"/>
          <wp:docPr descr="Foy_Logo_Bordered (2).jpg" id="1" name="image2.jpg"/>
          <a:graphic>
            <a:graphicData uri="http://schemas.openxmlformats.org/drawingml/2006/picture">
              <pic:pic>
                <pic:nvPicPr>
                  <pic:cNvPr descr="Foy_Logo_Bordered (2).jpg" id="0" name="image2.jpg"/>
                  <pic:cNvPicPr preferRelativeResize="0"/>
                </pic:nvPicPr>
                <pic:blipFill>
                  <a:blip r:embed="rId1"/>
                  <a:srcRect b="0" l="0" r="0" t="0"/>
                  <a:stretch>
                    <a:fillRect/>
                  </a:stretch>
                </pic:blipFill>
                <pic:spPr>
                  <a:xfrm>
                    <a:off x="0" y="0"/>
                    <a:ext cx="1466850" cy="750481"/>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Remote Phonebanking Instructions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color w:val="231c16"/>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drive.google.com/drive/folders/0B4Y2ZjylCa3VSVpEWWR4NXdLTDA?usp=sharing" TargetMode="External"/><Relationship Id="rId5" Type="http://schemas.openxmlformats.org/officeDocument/2006/relationships/hyperlink" Target="https://drive.google.com/drive/folders/0B4Y2ZjylCa3VSVpEWWR4NXdLTDA?usp=sharing" TargetMode="External"/><Relationship Id="rId6" Type="http://schemas.openxmlformats.org/officeDocument/2006/relationships/hyperlink" Target="https://www.openvpb.com/vpb_bycode/593E22C-7635" TargetMode="External"/><Relationship Id="rId7" Type="http://schemas.openxmlformats.org/officeDocument/2006/relationships/header" Target="header1.xml"/><Relationship Id="rId8" Type="http://schemas.openxmlformats.org/officeDocument/2006/relationships/hyperlink" Target="https://drive.google.com/drive/folders/0B4Y2ZjylCa3VSVpEWWR4NXdLTDA?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